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CD77FD" w:rsidRPr="00387628" w:rsidRDefault="00CD77FD"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01236F" w:rsidRPr="00387628" w:rsidRDefault="0001236F" w:rsidP="0001236F">
      <w:pPr>
        <w:jc w:val="both"/>
        <w:rPr>
          <w:rFonts w:ascii="Arial" w:hAnsi="Arial" w:cs="Arial"/>
          <w:b/>
        </w:rPr>
      </w:pPr>
    </w:p>
    <w:p w:rsidR="00124283" w:rsidRPr="00387628" w:rsidRDefault="00124283" w:rsidP="006405D7">
      <w:pPr>
        <w:jc w:val="both"/>
        <w:rPr>
          <w:rFonts w:ascii="Arial" w:hAnsi="Arial" w:cs="Arial"/>
          <w:b/>
        </w:rPr>
      </w:pPr>
    </w:p>
    <w:p w:rsidR="00784420" w:rsidRPr="00387628" w:rsidRDefault="00784420" w:rsidP="00784420">
      <w:pPr>
        <w:jc w:val="both"/>
        <w:rPr>
          <w:rFonts w:ascii="Arial" w:hAnsi="Arial" w:cs="Arial"/>
        </w:rPr>
      </w:pPr>
    </w:p>
    <w:p w:rsidR="00387628" w:rsidRPr="00387628" w:rsidRDefault="00387628" w:rsidP="00387628">
      <w:pPr>
        <w:jc w:val="both"/>
        <w:rPr>
          <w:rFonts w:ascii="Arial" w:hAnsi="Arial" w:cs="Arial"/>
          <w:b/>
        </w:rPr>
      </w:pPr>
      <w:r w:rsidRPr="00387628">
        <w:rPr>
          <w:rFonts w:ascii="Arial" w:hAnsi="Arial" w:cs="Arial"/>
          <w:b/>
        </w:rPr>
        <w:t>MOCIÓN</w:t>
      </w:r>
      <w:r w:rsidRPr="00387628">
        <w:rPr>
          <w:rFonts w:ascii="Arial" w:hAnsi="Arial" w:cs="Arial"/>
        </w:rPr>
        <w:t xml:space="preserve"> QUE PRESENTA EL GRUPO SOCIALISTA DE LA DIPUTACIÓN PROVINCIAL DE MÁLAGA PARA SU DEBATE Y APROBACIÓN SI PROCEDE POR EL PLENO DE LA CORPORACIÓN PROVINCIAL </w:t>
      </w:r>
      <w:r w:rsidRPr="00387628">
        <w:rPr>
          <w:rFonts w:ascii="Arial" w:hAnsi="Arial" w:cs="Arial"/>
          <w:b/>
        </w:rPr>
        <w:t>RELATIVA A PRESTAR A LOS MUNICIPIOS DE LA PROVINCIA LOS SERVICIOS NECESARIOS PARA LA ELABORACIÓN DE LAS LIQUIDACIONES PRESUPUESTARIAS ANUALES PARA SU PRESENTACIÓN ANTE LOS ORGANISMOS AUTONÓMICOS Y ESTATALES CORRESPONDIENTES</w:t>
      </w:r>
    </w:p>
    <w:p w:rsidR="00387628" w:rsidRPr="00387628" w:rsidRDefault="00387628" w:rsidP="00387628">
      <w:pPr>
        <w:jc w:val="both"/>
        <w:rPr>
          <w:rFonts w:ascii="Arial" w:hAnsi="Arial" w:cs="Arial"/>
          <w:b/>
        </w:rPr>
      </w:pPr>
    </w:p>
    <w:p w:rsidR="00387628" w:rsidRPr="00387628" w:rsidRDefault="00387628" w:rsidP="00387628">
      <w:pPr>
        <w:jc w:val="both"/>
        <w:rPr>
          <w:rFonts w:ascii="Arial" w:hAnsi="Arial" w:cs="Arial"/>
        </w:rPr>
      </w:pPr>
      <w:r w:rsidRPr="00387628">
        <w:rPr>
          <w:rFonts w:ascii="Arial" w:hAnsi="Arial" w:cs="Arial"/>
          <w:b/>
        </w:rPr>
        <w:t>Francisco Javier Conejo Rueda, Diputado Portavoz del Grupo Socialista de la Diputación de Málaga y José Luis Ruiz Espejo, Diputado del Grupo Socialista</w:t>
      </w:r>
      <w:r w:rsidRPr="00387628">
        <w:rPr>
          <w:rFonts w:ascii="Arial" w:hAnsi="Arial" w:cs="Arial"/>
        </w:rPr>
        <w:t xml:space="preserve"> en esta Corporación, al amparo de lo dispuesto en el art. 97.3 del Reglamento de Organización, Funcionamiento y Régimen Jurídico de las Entidades Locales, presenta ante ese Pleno Corporativo la siguiente MOCIÓN</w:t>
      </w:r>
      <w:r>
        <w:rPr>
          <w:rFonts w:ascii="Arial" w:hAnsi="Arial" w:cs="Arial"/>
        </w:rPr>
        <w:t>.</w:t>
      </w:r>
      <w:r w:rsidRPr="00387628">
        <w:rPr>
          <w:rFonts w:ascii="Arial" w:hAnsi="Arial" w:cs="Arial"/>
        </w:rPr>
        <w:t xml:space="preserve"> </w:t>
      </w:r>
    </w:p>
    <w:p w:rsidR="00387628" w:rsidRPr="00387628" w:rsidRDefault="00387628" w:rsidP="00387628">
      <w:pPr>
        <w:jc w:val="both"/>
        <w:rPr>
          <w:rFonts w:ascii="Arial" w:hAnsi="Arial" w:cs="Arial"/>
        </w:rPr>
      </w:pPr>
    </w:p>
    <w:p w:rsidR="00387628" w:rsidRPr="00387628" w:rsidRDefault="00387628" w:rsidP="00387628">
      <w:pPr>
        <w:jc w:val="center"/>
        <w:rPr>
          <w:rFonts w:ascii="Arial" w:hAnsi="Arial" w:cs="Arial"/>
          <w:b/>
          <w:bCs/>
        </w:rPr>
      </w:pPr>
      <w:r w:rsidRPr="00387628">
        <w:rPr>
          <w:rFonts w:ascii="Arial" w:hAnsi="Arial" w:cs="Arial"/>
          <w:b/>
          <w:bCs/>
        </w:rPr>
        <w:t>EXPOSICIÓN DE MOTIVOS</w:t>
      </w:r>
    </w:p>
    <w:p w:rsidR="00387628" w:rsidRPr="00387628" w:rsidRDefault="00387628" w:rsidP="00387628">
      <w:pPr>
        <w:jc w:val="both"/>
        <w:rPr>
          <w:rFonts w:ascii="Arial" w:hAnsi="Arial" w:cs="Arial"/>
        </w:rPr>
      </w:pPr>
    </w:p>
    <w:p w:rsidR="00387628" w:rsidRPr="00387628" w:rsidRDefault="00387628" w:rsidP="00387628">
      <w:pPr>
        <w:pStyle w:val="Pa9"/>
        <w:ind w:firstLine="340"/>
        <w:jc w:val="both"/>
        <w:rPr>
          <w:rFonts w:cs="Arial"/>
        </w:rPr>
      </w:pPr>
    </w:p>
    <w:p w:rsidR="00387628" w:rsidRPr="00387628" w:rsidRDefault="00387628" w:rsidP="00387628">
      <w:pPr>
        <w:pStyle w:val="Pa9"/>
        <w:jc w:val="both"/>
        <w:rPr>
          <w:rFonts w:cs="Arial"/>
        </w:rPr>
      </w:pPr>
      <w:r w:rsidRPr="00387628">
        <w:rPr>
          <w:rFonts w:cs="Arial"/>
        </w:rPr>
        <w:t xml:space="preserve">La Ley 2/2011, de 4 de marzo, de Economía Sostenible, </w:t>
      </w:r>
      <w:r w:rsidRPr="00387628">
        <w:rPr>
          <w:rFonts w:cs="Arial"/>
          <w:color w:val="000000"/>
        </w:rPr>
        <w:t xml:space="preserve">tiene por objeto introducir en el ordenamiento jurídico las reformas estructurales necesarias para crear condiciones que favorezcan un desarrollo económico sostenible, para ello </w:t>
      </w:r>
      <w:r w:rsidRPr="00387628">
        <w:rPr>
          <w:rFonts w:cs="Arial"/>
        </w:rPr>
        <w:t xml:space="preserve">aborda, transversalmente y con alcance estructural, muchos de los cambios que, con rango de ley, son necesarios para incentivar y acelerar el desarrollo de una economía más competitiva, más innovadora y capaz tanto de renovar los sectores productivos tradicionales como de abrirse decididamente a las nuevas actividades demandantes de empleos estables y de calidad. </w:t>
      </w:r>
    </w:p>
    <w:p w:rsidR="00387628" w:rsidRPr="00387628" w:rsidRDefault="00387628" w:rsidP="00387628">
      <w:pPr>
        <w:pStyle w:val="Pa9"/>
        <w:ind w:firstLine="340"/>
        <w:jc w:val="both"/>
        <w:rPr>
          <w:rFonts w:cs="Arial"/>
        </w:rPr>
      </w:pPr>
    </w:p>
    <w:p w:rsidR="00195CE3" w:rsidRDefault="00387628" w:rsidP="00387628">
      <w:pPr>
        <w:pStyle w:val="Pa9"/>
        <w:jc w:val="both"/>
        <w:rPr>
          <w:rFonts w:cs="Arial"/>
        </w:rPr>
      </w:pPr>
      <w:r w:rsidRPr="00387628">
        <w:rPr>
          <w:rFonts w:cs="Arial"/>
        </w:rPr>
        <w:t xml:space="preserve">Entre los contenidos de dicha Ley los primeros de ellos se centran en la mejora del entorno económico, entendiendo por tal las actuaciones del sector público que determinan el contexto de desarrollo de la economía; introduce una serie de novedades directamente vinculadas con el impulso de la competitividad del modelo económico español, eliminando obstáculos administrativos y tributarios, simplificando actuaciones y agilizando tramitaciones y actuando específicamente sobre tres ejes de mejora de la competitividad de las empresas españolas: el </w:t>
      </w:r>
    </w:p>
    <w:p w:rsidR="00195CE3" w:rsidRDefault="00195CE3" w:rsidP="00387628">
      <w:pPr>
        <w:pStyle w:val="Pa9"/>
        <w:jc w:val="both"/>
        <w:rPr>
          <w:rFonts w:cs="Arial"/>
        </w:rPr>
      </w:pPr>
    </w:p>
    <w:p w:rsidR="00387628" w:rsidRPr="00387628" w:rsidRDefault="00387628" w:rsidP="00387628">
      <w:pPr>
        <w:pStyle w:val="Pa9"/>
        <w:jc w:val="both"/>
        <w:rPr>
          <w:rFonts w:cs="Arial"/>
        </w:rPr>
      </w:pPr>
      <w:proofErr w:type="gramStart"/>
      <w:r w:rsidRPr="00387628">
        <w:rPr>
          <w:rFonts w:cs="Arial"/>
        </w:rPr>
        <w:t>desarrollo</w:t>
      </w:r>
      <w:proofErr w:type="gramEnd"/>
      <w:r w:rsidRPr="00387628">
        <w:rPr>
          <w:rFonts w:cs="Arial"/>
        </w:rPr>
        <w:t xml:space="preserve"> de la sociedad de la información, un nuevo marco de relación con el sistema de </w:t>
      </w:r>
      <w:proofErr w:type="spellStart"/>
      <w:r w:rsidRPr="00387628">
        <w:rPr>
          <w:rFonts w:cs="Arial"/>
        </w:rPr>
        <w:t>I+D+i</w:t>
      </w:r>
      <w:proofErr w:type="spellEnd"/>
      <w:r w:rsidRPr="00387628">
        <w:rPr>
          <w:rFonts w:cs="Arial"/>
        </w:rPr>
        <w:t xml:space="preserve"> y una importante reforma del sistema de formación profesional, que se lleva a cabo mediante esta Ley y una Ley Orgánica complementaria, sin embargo </w:t>
      </w:r>
      <w:r w:rsidRPr="00387628">
        <w:rPr>
          <w:rFonts w:cs="Arial"/>
          <w:color w:val="000000"/>
        </w:rPr>
        <w:t>a través de esta Ley, se fomenta una oferta integrada de formación profesional, así como la participación de los interlocutores sociales y una mayor colaboración con las empresas privadas.</w:t>
      </w:r>
    </w:p>
    <w:p w:rsidR="00387628" w:rsidRPr="00387628" w:rsidRDefault="00387628" w:rsidP="00387628">
      <w:pPr>
        <w:pStyle w:val="Pa9"/>
        <w:ind w:firstLine="340"/>
        <w:jc w:val="both"/>
        <w:rPr>
          <w:rFonts w:cs="Arial"/>
        </w:rPr>
      </w:pPr>
    </w:p>
    <w:p w:rsidR="00387628" w:rsidRPr="00387628" w:rsidRDefault="00387628" w:rsidP="00387628">
      <w:pPr>
        <w:pStyle w:val="Pa9"/>
        <w:jc w:val="both"/>
        <w:rPr>
          <w:rFonts w:cs="Arial"/>
        </w:rPr>
      </w:pPr>
      <w:r w:rsidRPr="00387628">
        <w:rPr>
          <w:rFonts w:cs="Arial"/>
        </w:rPr>
        <w:t xml:space="preserve">Igualmente contiene una serie de reformas que, desde la sostenibilidad medioambiental, inciden en los ámbitos centrales del modelo económico: la sostenibilidad del modelo energético, la reducción de emisiones, el transporte y movilidad sostenible, y, especialmente relevante en el caso español, el impulso del sector de la vivienda desde la perspectiva de la rehabilitación. </w:t>
      </w:r>
    </w:p>
    <w:p w:rsidR="00387628" w:rsidRPr="00387628" w:rsidRDefault="00387628" w:rsidP="00387628">
      <w:pPr>
        <w:pStyle w:val="Pa9"/>
        <w:ind w:firstLine="340"/>
        <w:jc w:val="both"/>
        <w:rPr>
          <w:rFonts w:cs="Arial"/>
        </w:rPr>
      </w:pPr>
    </w:p>
    <w:p w:rsidR="00387628" w:rsidRPr="00387628" w:rsidRDefault="00387628" w:rsidP="00387628">
      <w:pPr>
        <w:pStyle w:val="Pa9"/>
        <w:jc w:val="both"/>
        <w:rPr>
          <w:rFonts w:cs="Arial"/>
          <w:color w:val="000000"/>
        </w:rPr>
      </w:pPr>
      <w:r w:rsidRPr="00387628">
        <w:rPr>
          <w:rFonts w:cs="Arial"/>
          <w:color w:val="000000"/>
        </w:rPr>
        <w:t>También concentra una serie de reformas en el sector público que se orientan a garantizar un entorno económico eficiente y de apoyo a la competitividad de la economía española. En coherencia con esa finalidad general, la Ley adopta reformas que se proyectan sobre la actuación de todas las Administraciones Públicas, en ejercicio de las competencias estatales sobre procedimiento administrativo común y sobre ordenación general de la economía.</w:t>
      </w:r>
    </w:p>
    <w:p w:rsidR="00387628" w:rsidRPr="00387628" w:rsidRDefault="00387628" w:rsidP="00387628">
      <w:pPr>
        <w:pStyle w:val="Pa8"/>
        <w:ind w:firstLine="340"/>
        <w:jc w:val="both"/>
        <w:rPr>
          <w:rFonts w:cs="Arial"/>
          <w:color w:val="000000"/>
        </w:rPr>
      </w:pPr>
    </w:p>
    <w:p w:rsidR="00387628" w:rsidRPr="00387628" w:rsidRDefault="00387628" w:rsidP="00387628">
      <w:pPr>
        <w:pStyle w:val="Pa8"/>
        <w:jc w:val="both"/>
        <w:rPr>
          <w:rFonts w:cs="Arial"/>
          <w:color w:val="000000"/>
        </w:rPr>
      </w:pPr>
      <w:r w:rsidRPr="00387628">
        <w:rPr>
          <w:rFonts w:cs="Arial"/>
          <w:color w:val="000000"/>
        </w:rPr>
        <w:t>Así, en relación a la mejora de la calidad de la regulación, recoge los principios de buena regulación aplicables a las iniciativas normativas y los instrumentos para la mejora regulatoria, con especial atención a la transparencia y la evaluación previa y posterior de dichas iniciativas y la formalización de instrumentos a ese fin: los nuevos informes periódicos sobre las actuaciones de mejora regulatoria y el trabajo del Comité para la Mejora de la Regulación de las Actividades de Servicios.</w:t>
      </w:r>
    </w:p>
    <w:p w:rsidR="00387628" w:rsidRPr="00387628" w:rsidRDefault="00387628" w:rsidP="00387628">
      <w:pPr>
        <w:pStyle w:val="Default"/>
        <w:jc w:val="both"/>
      </w:pPr>
    </w:p>
    <w:p w:rsidR="00387628" w:rsidRPr="00387628" w:rsidRDefault="00387628" w:rsidP="00387628">
      <w:pPr>
        <w:pStyle w:val="Default"/>
        <w:jc w:val="both"/>
      </w:pPr>
      <w:r w:rsidRPr="00387628">
        <w:t>Incluye las medidas de reforma del mercado financiero, en la línea asentada por los acuerdos internacionales de incremento de la transparencia y mejora del gobierno corporativo, con la correspondiente modificación normativa, que permitirá al Banco de España exigir a las entidades de crédito políticas de remuneración coherentes con una gestión del riesgo prudente y eficaz. Como mecanismos de protección de los usuarios de servicios financieros y con el fin de asegurar la práctica de un crédito responsable, las entidades de crédito deberán evaluar la solvencia del prestatario, a la vez que aumentar la información proporcionada sobre los productos financieros y bancarios que se le ofrecen.</w:t>
      </w:r>
    </w:p>
    <w:p w:rsidR="00387628" w:rsidRPr="00387628" w:rsidRDefault="00387628" w:rsidP="00387628">
      <w:pPr>
        <w:pStyle w:val="Default"/>
        <w:ind w:firstLine="340"/>
        <w:jc w:val="both"/>
        <w:rPr>
          <w:lang w:eastAsia="zh-CN"/>
        </w:rPr>
      </w:pPr>
    </w:p>
    <w:p w:rsidR="00195CE3" w:rsidRDefault="00387628" w:rsidP="00387628">
      <w:pPr>
        <w:pStyle w:val="Default"/>
        <w:jc w:val="both"/>
      </w:pPr>
      <w:r w:rsidRPr="00387628">
        <w:t xml:space="preserve">En uno de sus Capítulos se impulsa la eficiencia en la contratación pública y la colaboración público privada, como elementos fundamentales de relación entre la Administración Pública y el tejido empresarial y, a la vez, como ámbitos en los que debe reforzarse la vinculación a parámetros de sostenibilidad económica. La adopción de estas medidas conlleva la reforma </w:t>
      </w:r>
    </w:p>
    <w:p w:rsidR="00195CE3" w:rsidRDefault="00195CE3" w:rsidP="00387628">
      <w:pPr>
        <w:pStyle w:val="Default"/>
        <w:jc w:val="both"/>
      </w:pPr>
    </w:p>
    <w:p w:rsidR="00195CE3" w:rsidRDefault="00195CE3" w:rsidP="00387628">
      <w:pPr>
        <w:pStyle w:val="Default"/>
        <w:jc w:val="both"/>
      </w:pPr>
    </w:p>
    <w:p w:rsidR="00387628" w:rsidRPr="00387628" w:rsidRDefault="00387628" w:rsidP="00387628">
      <w:pPr>
        <w:pStyle w:val="Default"/>
        <w:jc w:val="both"/>
      </w:pPr>
      <w:proofErr w:type="gramStart"/>
      <w:r w:rsidRPr="00387628">
        <w:t>de</w:t>
      </w:r>
      <w:proofErr w:type="gramEnd"/>
      <w:r w:rsidRPr="00387628">
        <w:t xml:space="preserve"> la Ley 30/2007, de 30 de octubre, de Contratos del Sector Público, modificada en la disposición final decimosexta. </w:t>
      </w:r>
    </w:p>
    <w:p w:rsidR="00387628" w:rsidRPr="00387628" w:rsidRDefault="00387628" w:rsidP="00387628">
      <w:pPr>
        <w:pStyle w:val="Default"/>
        <w:jc w:val="both"/>
        <w:rPr>
          <w:rFonts w:eastAsia="SimSun"/>
          <w:lang w:eastAsia="zh-CN"/>
        </w:rPr>
      </w:pPr>
    </w:p>
    <w:p w:rsidR="006A15DD" w:rsidRDefault="00387628" w:rsidP="00387628">
      <w:pPr>
        <w:pStyle w:val="Pa8"/>
        <w:jc w:val="both"/>
        <w:rPr>
          <w:rFonts w:cs="Arial"/>
          <w:color w:val="000000"/>
        </w:rPr>
      </w:pPr>
      <w:r w:rsidRPr="00387628">
        <w:rPr>
          <w:rFonts w:cs="Arial"/>
          <w:color w:val="000000"/>
        </w:rPr>
        <w:t xml:space="preserve">Asimismo, se establece una mayor transparencia de la información en la contratación pública, se fomenta la realización de contratos de investigación y desarrollo, y se impulsa la participación de pequeñas y medianas empresas en la contratación pública. Además, se centraliza el acceso a la información contractual en una plataforma electrónica en la que se difundirá toda la información relativa a las licitaciones convocadas por el sector público estatal. </w:t>
      </w:r>
    </w:p>
    <w:p w:rsidR="006A15DD" w:rsidRDefault="006A15DD" w:rsidP="00387628">
      <w:pPr>
        <w:pStyle w:val="Pa8"/>
        <w:jc w:val="both"/>
        <w:rPr>
          <w:rFonts w:cs="Arial"/>
          <w:color w:val="000000"/>
        </w:rPr>
      </w:pPr>
    </w:p>
    <w:p w:rsidR="00387628" w:rsidRPr="00387628" w:rsidRDefault="00387628" w:rsidP="00387628">
      <w:pPr>
        <w:pStyle w:val="Pa8"/>
        <w:jc w:val="both"/>
        <w:rPr>
          <w:rFonts w:cs="Arial"/>
          <w:color w:val="000000"/>
        </w:rPr>
      </w:pPr>
      <w:r w:rsidRPr="00387628">
        <w:rPr>
          <w:rFonts w:cs="Arial"/>
          <w:color w:val="000000"/>
        </w:rPr>
        <w:t>Asimismo, se simplifican los trámites administrativos en los procesos de contratación disminuyendo el coste que para los empresarios implica participar en procedimientos de adjudicación de contratos públicos. Por último, se incluyen ciertas previsiones que completan el régimen jurídico de las fórmulas contractuales e institucionales de colaboración entre el sector público y el sector privado, para potenciar estas figuras y facilitar su empleo por el sector público, al tiempo que se regulan los términos en que los adjudicatarios de estos contratos pueden concurrir a los mercados de capitales para obtener financiación para la ejecución de los mismos.</w:t>
      </w:r>
    </w:p>
    <w:p w:rsidR="00387628" w:rsidRPr="00387628" w:rsidRDefault="00387628" w:rsidP="00387628">
      <w:pPr>
        <w:pStyle w:val="Default"/>
        <w:rPr>
          <w:lang w:eastAsia="zh-CN"/>
        </w:rPr>
      </w:pPr>
    </w:p>
    <w:p w:rsidR="00387628" w:rsidRPr="00387628" w:rsidRDefault="00387628" w:rsidP="00387628">
      <w:pPr>
        <w:pStyle w:val="Pa9"/>
        <w:jc w:val="both"/>
        <w:rPr>
          <w:rFonts w:cs="Arial"/>
          <w:color w:val="000000"/>
        </w:rPr>
      </w:pPr>
      <w:r w:rsidRPr="00387628">
        <w:rPr>
          <w:rFonts w:cs="Arial"/>
          <w:color w:val="000000"/>
        </w:rPr>
        <w:t>Por último y a lo pr</w:t>
      </w:r>
      <w:r>
        <w:rPr>
          <w:rFonts w:cs="Arial"/>
          <w:color w:val="000000"/>
        </w:rPr>
        <w:t>evisto en la presente Moción, nos</w:t>
      </w:r>
      <w:r w:rsidRPr="00387628">
        <w:rPr>
          <w:rFonts w:cs="Arial"/>
          <w:color w:val="000000"/>
        </w:rPr>
        <w:t xml:space="preserve"> gustaría describir lo que establece su Capítulo IV, en el que se introducen principios de actuación, reglas y mecanismos de sanción y evaluación que permitan contribuir al logro de la sostenibilidad financiera del sector público, como elemento de apoyo a la solidez del modelo productivo que, tras los efectos de la crisis, necesita de un impulso especial. Estas medidas incluyen la aplicación por parte de las Administraciones Públicas, de políticas de racionalización y contención del gasto, de acuerdo con los objetivos de estabilidad presupuestaria. En el marco del Consejo de Política Fiscal y Financiera y de la Comisión Nacional de la Administración Local, la Administración General del Estado informará a las Comunidades Autónomas y a las Entidades locales de las medidas adoptadas. La Ley regula un instrumento específico de especial relevancia en el ámbito de la Administración General del Estado, el Plan de Austeridad, que permita mantener el equilibrio presupuestario de acuerdo con la normativa de estabilidad presupuestaria, y que podrá llevar en última instancia a la racionalización de las estructuras de la Administración General del Estado y el sector público empresarial.</w:t>
      </w:r>
    </w:p>
    <w:p w:rsidR="00387628" w:rsidRPr="00387628" w:rsidRDefault="00387628" w:rsidP="00387628">
      <w:pPr>
        <w:pStyle w:val="Pa8"/>
        <w:ind w:firstLine="340"/>
        <w:jc w:val="both"/>
        <w:rPr>
          <w:rFonts w:cs="Arial"/>
          <w:color w:val="000000"/>
        </w:rPr>
      </w:pPr>
    </w:p>
    <w:p w:rsidR="006A15DD" w:rsidRDefault="00387628" w:rsidP="00387628">
      <w:pPr>
        <w:pStyle w:val="Pa8"/>
        <w:jc w:val="both"/>
        <w:rPr>
          <w:rFonts w:cs="Arial"/>
          <w:color w:val="000000"/>
        </w:rPr>
      </w:pPr>
      <w:r>
        <w:rPr>
          <w:rFonts w:cs="Arial"/>
          <w:color w:val="000000"/>
        </w:rPr>
        <w:t>L</w:t>
      </w:r>
      <w:r w:rsidRPr="00387628">
        <w:rPr>
          <w:rFonts w:cs="Arial"/>
          <w:color w:val="000000"/>
        </w:rPr>
        <w:t xml:space="preserve">a Ley contiene un instrumento específico de aseguramiento de la información y transparencia en materia de disciplina presupuestaria de las Entidades locales, como elemento fundamental para la coordinación de las Haciendas Públicas en el pleno respeto a su autonomía, pues se habilita al Ministerio de Economía y Hacienda a que, bajo determinadas condiciones, retenga el importe de las entregas mensuales a cuenta de la participación en los tributos del Estado que le corresponda, cuando las Entidades locales </w:t>
      </w:r>
    </w:p>
    <w:p w:rsidR="006A15DD" w:rsidRDefault="006A15DD" w:rsidP="00387628">
      <w:pPr>
        <w:pStyle w:val="Pa8"/>
        <w:jc w:val="both"/>
        <w:rPr>
          <w:rFonts w:cs="Arial"/>
          <w:color w:val="000000"/>
        </w:rPr>
      </w:pPr>
    </w:p>
    <w:p w:rsidR="00387628" w:rsidRPr="00387628" w:rsidRDefault="00387628" w:rsidP="00387628">
      <w:pPr>
        <w:pStyle w:val="Pa8"/>
        <w:jc w:val="both"/>
        <w:rPr>
          <w:rFonts w:cs="Arial"/>
          <w:color w:val="000000"/>
        </w:rPr>
      </w:pPr>
      <w:proofErr w:type="gramStart"/>
      <w:r w:rsidRPr="00387628">
        <w:rPr>
          <w:rFonts w:cs="Arial"/>
          <w:color w:val="000000"/>
        </w:rPr>
        <w:t>incumplan</w:t>
      </w:r>
      <w:proofErr w:type="gramEnd"/>
      <w:r w:rsidRPr="00387628">
        <w:rPr>
          <w:rFonts w:cs="Arial"/>
          <w:color w:val="000000"/>
        </w:rPr>
        <w:t xml:space="preserve"> la obligación de remitir la liquidación de sus respectivos presupuestos de cada año, modificando con este fin el Texto Refundido de la Ley Reguladora de las Haciendas Locales, aprobado por el Real Decreto Legislativo 2/2004, de 5 de marzo.</w:t>
      </w:r>
    </w:p>
    <w:p w:rsidR="00387628" w:rsidRPr="00387628" w:rsidRDefault="00387628" w:rsidP="00387628">
      <w:pPr>
        <w:pStyle w:val="Default"/>
        <w:rPr>
          <w:lang w:eastAsia="zh-CN"/>
        </w:rPr>
      </w:pPr>
    </w:p>
    <w:p w:rsidR="00387628" w:rsidRPr="00387628" w:rsidRDefault="00387628" w:rsidP="00387628">
      <w:pPr>
        <w:pStyle w:val="Default"/>
        <w:jc w:val="both"/>
        <w:rPr>
          <w:lang w:eastAsia="zh-CN"/>
        </w:rPr>
      </w:pPr>
      <w:r w:rsidRPr="00387628">
        <w:rPr>
          <w:lang w:eastAsia="zh-CN"/>
        </w:rPr>
        <w:t xml:space="preserve">Dicha obligación de presentación de la liquidación de los presupuestos de cada año se establecía en el plazo del 31 de Marzo del ejercicio siguiente, habiéndose prorrogado en este ejercicio hasta el 31 de Julio, para presentar la liquidación del Presupuesto de 2010, por lo que hace unos días se hizo público el informe sobre los municipios que no habían cumplido con este requisito, superando en toda España la cifra de 679 municipios, 177 en toda Andalucía y 16 en nuestra provincia. </w:t>
      </w: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r w:rsidRPr="00387628">
        <w:rPr>
          <w:lang w:eastAsia="zh-CN"/>
        </w:rPr>
        <w:t>Como reconoce el propio Presidente de la FAMP y los alcaldes de estos municipios, en ningún caso se desea eludir los controles y exigencias de esta Ley, pero los escasos recursos humanos y económicos de estos municipios hacen imposible el cumplimiento de este plazo, por ello se amplió hasta Julio, mediante una circular del Ministerio de Economía y Hacienda, pero dado que seguimos con un número importante de municipios que no han podido liquidar el presupuesto de 2010 y por tanto realizar la rendición de cuentas obligatoria ante el Ministerio y con objeto de evitar el bloqueo de las transferencias de los fondos procedentes de la PIE, estos municipios precisan de colaboración profesional y técnica.</w:t>
      </w:r>
    </w:p>
    <w:p w:rsidR="00387628" w:rsidRPr="00387628" w:rsidRDefault="00387628" w:rsidP="00387628">
      <w:pPr>
        <w:pStyle w:val="Default"/>
        <w:tabs>
          <w:tab w:val="left" w:pos="4248"/>
        </w:tabs>
      </w:pPr>
    </w:p>
    <w:p w:rsidR="00387628" w:rsidRPr="00387628" w:rsidRDefault="00387628" w:rsidP="006A15DD">
      <w:pPr>
        <w:pStyle w:val="Default"/>
        <w:tabs>
          <w:tab w:val="left" w:pos="4248"/>
        </w:tabs>
        <w:jc w:val="both"/>
      </w:pPr>
      <w:r w:rsidRPr="00387628">
        <w:t xml:space="preserve">Por todo ello el Grupo Socialista formula la presente </w:t>
      </w:r>
      <w:r w:rsidR="006A15DD">
        <w:t xml:space="preserve">MOCIÓN a fin de que el Pleno se </w:t>
      </w:r>
      <w:r w:rsidRPr="00387628">
        <w:t>pronuncie sobre la misma y adopte los siguientes</w:t>
      </w:r>
    </w:p>
    <w:p w:rsidR="00387628" w:rsidRPr="00387628" w:rsidRDefault="00387628" w:rsidP="006A15DD">
      <w:pPr>
        <w:pStyle w:val="Default"/>
        <w:tabs>
          <w:tab w:val="left" w:pos="4248"/>
        </w:tabs>
        <w:jc w:val="both"/>
      </w:pPr>
    </w:p>
    <w:p w:rsidR="00387628" w:rsidRPr="00387628" w:rsidRDefault="00387628" w:rsidP="006A15DD">
      <w:pPr>
        <w:pStyle w:val="Default"/>
        <w:tabs>
          <w:tab w:val="left" w:pos="4248"/>
        </w:tabs>
        <w:jc w:val="both"/>
      </w:pPr>
    </w:p>
    <w:p w:rsidR="00387628" w:rsidRPr="00387628" w:rsidRDefault="00387628" w:rsidP="006A15DD">
      <w:pPr>
        <w:pStyle w:val="Default"/>
        <w:tabs>
          <w:tab w:val="left" w:pos="4248"/>
        </w:tabs>
        <w:jc w:val="both"/>
        <w:rPr>
          <w:b/>
          <w:bCs/>
        </w:rPr>
      </w:pPr>
      <w:r w:rsidRPr="00387628">
        <w:tab/>
      </w:r>
      <w:r w:rsidRPr="00387628">
        <w:rPr>
          <w:b/>
          <w:bCs/>
        </w:rPr>
        <w:t>ACUERDOS</w:t>
      </w:r>
    </w:p>
    <w:p w:rsidR="00387628" w:rsidRPr="00387628" w:rsidRDefault="00387628" w:rsidP="00387628">
      <w:pPr>
        <w:pStyle w:val="Default"/>
        <w:tabs>
          <w:tab w:val="left" w:pos="4248"/>
        </w:tabs>
      </w:pPr>
    </w:p>
    <w:p w:rsidR="00387628" w:rsidRPr="00387628" w:rsidRDefault="00387628" w:rsidP="00387628">
      <w:pPr>
        <w:pStyle w:val="Default"/>
        <w:tabs>
          <w:tab w:val="left" w:pos="4248"/>
        </w:tabs>
        <w:jc w:val="both"/>
      </w:pPr>
      <w:r w:rsidRPr="00387628">
        <w:t xml:space="preserve">1.- </w:t>
      </w:r>
      <w:r w:rsidR="006A15DD">
        <w:t>La Diputación de Málaga prestará</w:t>
      </w:r>
      <w:r w:rsidRPr="00387628">
        <w:t xml:space="preserve"> los servicios necesarios a todos los municipios de la provincia que lo precisen para la elaboración de la Liquidación del Presupuesto Anual, a los efectos previsto en la Ley 39/88 Reguladora de las Haciendas Locales, la Ley de Autonomía Local de Andalucía y la Ley de Economía Sostenible y cumplir con las exigencias previstas en las mismas, sobre todo la de rendición y presentación de dichas liquidaciones ante el Ministerio de Economía y Hacienda y Consejería de Hacienda, así como del Tribunal de Cuentas, como ejercicio de Control y Disciplina Presupuestaria Local.</w:t>
      </w:r>
    </w:p>
    <w:p w:rsidR="00387628" w:rsidRPr="00387628" w:rsidRDefault="00387628" w:rsidP="00387628">
      <w:pPr>
        <w:pStyle w:val="Default"/>
        <w:tabs>
          <w:tab w:val="left" w:pos="4248"/>
        </w:tabs>
        <w:jc w:val="both"/>
      </w:pPr>
    </w:p>
    <w:p w:rsidR="00387628" w:rsidRPr="00387628" w:rsidRDefault="00387628" w:rsidP="00387628">
      <w:pPr>
        <w:pStyle w:val="Default"/>
        <w:tabs>
          <w:tab w:val="left" w:pos="4248"/>
        </w:tabs>
        <w:jc w:val="both"/>
      </w:pPr>
      <w:r w:rsidRPr="00387628">
        <w:t>2.- Prestar estos servicio</w:t>
      </w:r>
      <w:r w:rsidR="006A15DD">
        <w:t xml:space="preserve">s de forma urgente a los </w:t>
      </w:r>
      <w:r w:rsidRPr="00387628">
        <w:t>municipios de la provincia que tienen pendiente la presentación de la liquidación del presupuesto de 2010, al objeto de cumplir con lo exigido en la Ley de Economía Sostenible y evitar la retención de los fondos de la PIE a estos municipios.</w:t>
      </w:r>
    </w:p>
    <w:p w:rsidR="00387628" w:rsidRDefault="00387628" w:rsidP="00387628">
      <w:pPr>
        <w:pStyle w:val="Default"/>
        <w:tabs>
          <w:tab w:val="left" w:pos="4248"/>
        </w:tabs>
        <w:jc w:val="both"/>
      </w:pPr>
    </w:p>
    <w:p w:rsidR="006A15DD" w:rsidRPr="00387628" w:rsidRDefault="006A15DD" w:rsidP="00387628">
      <w:pPr>
        <w:pStyle w:val="Default"/>
        <w:tabs>
          <w:tab w:val="left" w:pos="4248"/>
        </w:tabs>
        <w:jc w:val="both"/>
      </w:pPr>
    </w:p>
    <w:p w:rsidR="00387628" w:rsidRPr="00387628" w:rsidRDefault="00387628" w:rsidP="00387628">
      <w:pPr>
        <w:pStyle w:val="Default"/>
        <w:tabs>
          <w:tab w:val="left" w:pos="4248"/>
        </w:tabs>
        <w:jc w:val="both"/>
      </w:pPr>
      <w:r w:rsidRPr="00387628">
        <w:t>3.- T</w:t>
      </w:r>
      <w:r w:rsidR="006A15DD">
        <w:t xml:space="preserve">rasladar el presente acuerdo al </w:t>
      </w:r>
      <w:r w:rsidRPr="00387628">
        <w:t>Ministerio de Economía y Hacienda y solicitar un plazo extraordinario para la presentación de dichas liquidaciones, contando con el compromiso de esta Diputación para cumplir dicho plazo extraordinario y evitar la retención de los fondos de la PIE a estos municipios.</w:t>
      </w:r>
    </w:p>
    <w:p w:rsidR="00387628" w:rsidRPr="00387628" w:rsidRDefault="00387628" w:rsidP="00387628">
      <w:pPr>
        <w:pStyle w:val="Default"/>
        <w:tabs>
          <w:tab w:val="left" w:pos="4248"/>
        </w:tabs>
      </w:pPr>
    </w:p>
    <w:p w:rsidR="00387628" w:rsidRPr="00387628" w:rsidRDefault="00387628" w:rsidP="00387628">
      <w:pPr>
        <w:pStyle w:val="Default"/>
        <w:tabs>
          <w:tab w:val="left" w:pos="4248"/>
        </w:tabs>
      </w:pPr>
    </w:p>
    <w:p w:rsidR="00387628" w:rsidRPr="00387628" w:rsidRDefault="00387628" w:rsidP="00387628">
      <w:pPr>
        <w:pStyle w:val="Default"/>
        <w:tabs>
          <w:tab w:val="left" w:pos="4248"/>
        </w:tabs>
        <w:jc w:val="center"/>
      </w:pPr>
      <w:r w:rsidRPr="00387628">
        <w:t>Málaga</w:t>
      </w:r>
      <w:r w:rsidR="006A15DD">
        <w:t>, a 9</w:t>
      </w:r>
      <w:r w:rsidRPr="00387628">
        <w:t xml:space="preserve"> de septiembre de 2011</w:t>
      </w:r>
    </w:p>
    <w:p w:rsidR="00387628" w:rsidRPr="00387628" w:rsidRDefault="00387628" w:rsidP="00387628">
      <w:pPr>
        <w:pStyle w:val="Default"/>
        <w:tabs>
          <w:tab w:val="left" w:pos="4248"/>
        </w:tabs>
      </w:pPr>
    </w:p>
    <w:p w:rsidR="00387628" w:rsidRPr="00387628" w:rsidRDefault="00387628" w:rsidP="00387628">
      <w:pPr>
        <w:pStyle w:val="Default"/>
        <w:tabs>
          <w:tab w:val="left" w:pos="4248"/>
        </w:tabs>
      </w:pPr>
    </w:p>
    <w:p w:rsidR="00387628" w:rsidRPr="00387628" w:rsidRDefault="00387628" w:rsidP="00387628">
      <w:pPr>
        <w:pStyle w:val="Default"/>
        <w:tabs>
          <w:tab w:val="left" w:pos="4248"/>
        </w:tabs>
      </w:pPr>
    </w:p>
    <w:p w:rsidR="00387628" w:rsidRPr="006A15DD" w:rsidRDefault="00387628" w:rsidP="00387628">
      <w:pPr>
        <w:pStyle w:val="Default"/>
        <w:tabs>
          <w:tab w:val="left" w:pos="4248"/>
        </w:tabs>
        <w:rPr>
          <w:b/>
        </w:rPr>
      </w:pPr>
    </w:p>
    <w:p w:rsidR="006A15DD" w:rsidRPr="006A15DD" w:rsidRDefault="006A15DD" w:rsidP="00387628">
      <w:pPr>
        <w:pStyle w:val="Default"/>
        <w:tabs>
          <w:tab w:val="left" w:pos="4248"/>
        </w:tabs>
        <w:rPr>
          <w:b/>
        </w:rPr>
      </w:pPr>
    </w:p>
    <w:p w:rsidR="006A15DD" w:rsidRPr="006A15DD" w:rsidRDefault="006A15DD" w:rsidP="00387628">
      <w:pPr>
        <w:pStyle w:val="Default"/>
        <w:tabs>
          <w:tab w:val="left" w:pos="4248"/>
        </w:tabs>
        <w:rPr>
          <w:b/>
        </w:rPr>
      </w:pPr>
    </w:p>
    <w:p w:rsidR="00387628" w:rsidRPr="006A15DD" w:rsidRDefault="00387628" w:rsidP="00387628">
      <w:pPr>
        <w:pStyle w:val="Default"/>
        <w:tabs>
          <w:tab w:val="left" w:pos="4248"/>
        </w:tabs>
        <w:rPr>
          <w:b/>
        </w:rPr>
      </w:pPr>
    </w:p>
    <w:p w:rsidR="00387628" w:rsidRPr="006A15DD" w:rsidRDefault="006A15DD" w:rsidP="00387628">
      <w:pPr>
        <w:pStyle w:val="Default"/>
        <w:tabs>
          <w:tab w:val="left" w:pos="4248"/>
        </w:tabs>
        <w:rPr>
          <w:b/>
        </w:rPr>
      </w:pPr>
      <w:r w:rsidRPr="006A15DD">
        <w:rPr>
          <w:b/>
        </w:rPr>
        <w:t xml:space="preserve">Fdo.: </w:t>
      </w:r>
      <w:r w:rsidR="00387628" w:rsidRPr="006A15DD">
        <w:rPr>
          <w:b/>
        </w:rPr>
        <w:t>Francisco J. Conejo Rueda</w:t>
      </w:r>
      <w:r w:rsidR="00387628" w:rsidRPr="006A15DD">
        <w:rPr>
          <w:b/>
        </w:rPr>
        <w:tab/>
      </w:r>
      <w:r w:rsidR="00387628" w:rsidRPr="006A15DD">
        <w:rPr>
          <w:b/>
        </w:rPr>
        <w:tab/>
      </w:r>
      <w:r w:rsidR="00387628" w:rsidRPr="006A15DD">
        <w:rPr>
          <w:b/>
        </w:rPr>
        <w:tab/>
      </w:r>
      <w:r w:rsidRPr="006A15DD">
        <w:rPr>
          <w:b/>
        </w:rPr>
        <w:t xml:space="preserve">Fdo.: </w:t>
      </w:r>
      <w:r w:rsidR="00387628" w:rsidRPr="006A15DD">
        <w:rPr>
          <w:b/>
        </w:rPr>
        <w:t>José Luis Ruiz Espejo</w:t>
      </w:r>
    </w:p>
    <w:p w:rsidR="00387628" w:rsidRPr="006A15DD" w:rsidRDefault="006A15DD" w:rsidP="00387628">
      <w:pPr>
        <w:pStyle w:val="Default"/>
        <w:tabs>
          <w:tab w:val="left" w:pos="4248"/>
        </w:tabs>
        <w:rPr>
          <w:b/>
        </w:rPr>
      </w:pPr>
      <w:r w:rsidRPr="006A15DD">
        <w:rPr>
          <w:b/>
        </w:rPr>
        <w:t xml:space="preserve">         Diputado </w:t>
      </w:r>
      <w:r w:rsidR="00387628" w:rsidRPr="006A15DD">
        <w:rPr>
          <w:b/>
        </w:rPr>
        <w:t xml:space="preserve">Portavoz </w:t>
      </w:r>
      <w:r w:rsidR="00387628" w:rsidRPr="006A15DD">
        <w:rPr>
          <w:b/>
        </w:rPr>
        <w:tab/>
      </w:r>
      <w:r w:rsidR="00387628" w:rsidRPr="006A15DD">
        <w:rPr>
          <w:b/>
        </w:rPr>
        <w:tab/>
      </w:r>
      <w:r w:rsidR="00387628" w:rsidRPr="006A15DD">
        <w:rPr>
          <w:b/>
        </w:rPr>
        <w:tab/>
      </w:r>
      <w:r w:rsidRPr="006A15DD">
        <w:rPr>
          <w:b/>
        </w:rPr>
        <w:t xml:space="preserve">          </w:t>
      </w:r>
      <w:r w:rsidR="00387628" w:rsidRPr="006A15DD">
        <w:rPr>
          <w:b/>
        </w:rPr>
        <w:t xml:space="preserve">Diputado </w:t>
      </w:r>
    </w:p>
    <w:p w:rsidR="006A15DD" w:rsidRPr="006A15DD" w:rsidRDefault="006A15DD" w:rsidP="00387628">
      <w:pPr>
        <w:pStyle w:val="Default"/>
        <w:tabs>
          <w:tab w:val="left" w:pos="4248"/>
        </w:tabs>
        <w:rPr>
          <w:b/>
        </w:rPr>
      </w:pPr>
    </w:p>
    <w:p w:rsidR="006A15DD" w:rsidRDefault="006A15DD" w:rsidP="00387628">
      <w:pPr>
        <w:pStyle w:val="Default"/>
        <w:tabs>
          <w:tab w:val="left" w:pos="4248"/>
        </w:tabs>
      </w:pPr>
    </w:p>
    <w:p w:rsidR="006A15DD" w:rsidRPr="00387628" w:rsidRDefault="006A15DD" w:rsidP="00387628">
      <w:pPr>
        <w:pStyle w:val="Default"/>
        <w:tabs>
          <w:tab w:val="left" w:pos="4248"/>
        </w:tabs>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p w:rsidR="00387628" w:rsidRPr="00387628" w:rsidRDefault="00387628" w:rsidP="00387628">
      <w:pPr>
        <w:pStyle w:val="Default"/>
        <w:jc w:val="both"/>
        <w:rPr>
          <w:lang w:eastAsia="zh-CN"/>
        </w:rPr>
      </w:pPr>
    </w:p>
    <w:sectPr w:rsidR="00387628" w:rsidRPr="00387628" w:rsidSect="00107A21">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2F3" w:rsidRDefault="00E972F3">
      <w:r>
        <w:separator/>
      </w:r>
    </w:p>
  </w:endnote>
  <w:endnote w:type="continuationSeparator" w:id="0">
    <w:p w:rsidR="00E972F3" w:rsidRDefault="00E972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jaVu Sans">
    <w:charset w:val="00"/>
    <w:family w:val="auto"/>
    <w:pitch w:val="variable"/>
    <w:sig w:usb0="00000000" w:usb1="00000000" w:usb2="00000000" w:usb3="00000000" w:csb0="00000000" w:csb1="00000000"/>
  </w:font>
  <w:font w:name="font325">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972F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B01E0F" w:rsidP="00B20A6C">
    <w:pPr>
      <w:pStyle w:val="Piedepgina"/>
      <w:tabs>
        <w:tab w:val="clear" w:pos="4252"/>
        <w:tab w:val="clear" w:pos="8504"/>
      </w:tabs>
      <w:ind w:left="-720" w:firstLine="720"/>
      <w:jc w:val="right"/>
      <w:rPr>
        <w:rFonts w:ascii="Arial" w:hAnsi="Arial" w:cs="Arial"/>
        <w:sz w:val="16"/>
        <w:szCs w:val="16"/>
        <w:lang w:val="es-ES_tradnl"/>
      </w:rPr>
    </w:pPr>
    <w:r w:rsidRPr="00E8794A">
      <w:rPr>
        <w:rFonts w:ascii="Arial" w:hAnsi="Arial" w:cs="Arial"/>
        <w:sz w:val="20"/>
        <w:szCs w:val="2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1pt;height:116.15pt">
          <v:imagedata r:id="rId1" o:title="TEXTO DIPU"/>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972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2F3" w:rsidRDefault="00E972F3">
      <w:r>
        <w:separator/>
      </w:r>
    </w:p>
  </w:footnote>
  <w:footnote w:type="continuationSeparator" w:id="0">
    <w:p w:rsidR="00E972F3" w:rsidRDefault="00E972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pPr>
      <w:pStyle w:val="Encabezado"/>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rsidP="00B20A6C">
    <w:pPr>
      <w:pStyle w:val="Encabezado"/>
      <w:jc w:val="right"/>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3;mso-wrap-edited:f;mso-position-horizontal-relative:margin;mso-position-vertical-relative:margin" wrapcoords="-27 0 -27 21580 21600 21580 21600 0 -27 0">
          <v:imagedata r:id="rId1" o:title="TEXTO IGUAL" gain="19661f" blacklevel="22938f"/>
          <w10:wrap anchorx="margin" anchory="margin"/>
        </v:shape>
      </w:pict>
    </w:r>
    <w:r>
      <w:pict>
        <v:shape id="_x0000_i1025" type="#_x0000_t75" style="width:137.2pt;height:63.15pt">
          <v:imagedata r:id="rId2" o:title="LOGO DIPU"/>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E8794A">
    <w:pPr>
      <w:pStyle w:val="Encabezado"/>
    </w:pPr>
    <w:r w:rsidRPr="00E8794A">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1;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nsid w:val="1C9D7921"/>
    <w:multiLevelType w:val="hybridMultilevel"/>
    <w:tmpl w:val="FB7E94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6">
    <w:nsid w:val="635F011E"/>
    <w:multiLevelType w:val="hybridMultilevel"/>
    <w:tmpl w:val="CDA245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005358C"/>
    <w:multiLevelType w:val="hybridMultilevel"/>
    <w:tmpl w:val="D834C5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5"/>
  </w:num>
  <w:num w:numId="2">
    <w:abstractNumId w:val="3"/>
  </w:num>
  <w:num w:numId="3">
    <w:abstractNumId w:val="1"/>
  </w:num>
  <w:num w:numId="4">
    <w:abstractNumId w:val="8"/>
  </w:num>
  <w:num w:numId="5">
    <w:abstractNumId w:val="4"/>
  </w:num>
  <w:num w:numId="6">
    <w:abstractNumId w:val="0"/>
  </w:num>
  <w:num w:numId="7">
    <w:abstractNumId w:val="7"/>
  </w:num>
  <w:num w:numId="8">
    <w:abstractNumId w:val="2"/>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oNotTrackMoves/>
  <w:defaultTabStop w:val="708"/>
  <w:hyphenationZone w:val="425"/>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7B15"/>
    <w:rsid w:val="00005B16"/>
    <w:rsid w:val="0001236F"/>
    <w:rsid w:val="00061B1B"/>
    <w:rsid w:val="00107A21"/>
    <w:rsid w:val="00124283"/>
    <w:rsid w:val="00195CE3"/>
    <w:rsid w:val="002E4936"/>
    <w:rsid w:val="00356D78"/>
    <w:rsid w:val="00387628"/>
    <w:rsid w:val="006405D7"/>
    <w:rsid w:val="00663117"/>
    <w:rsid w:val="006A15DD"/>
    <w:rsid w:val="006B6CF8"/>
    <w:rsid w:val="0077307A"/>
    <w:rsid w:val="00784420"/>
    <w:rsid w:val="007A0FF6"/>
    <w:rsid w:val="008A12F7"/>
    <w:rsid w:val="008D765E"/>
    <w:rsid w:val="00955CEB"/>
    <w:rsid w:val="009E5362"/>
    <w:rsid w:val="00A67BBF"/>
    <w:rsid w:val="00AB5516"/>
    <w:rsid w:val="00B01E0F"/>
    <w:rsid w:val="00B07B15"/>
    <w:rsid w:val="00B51D92"/>
    <w:rsid w:val="00B85E0D"/>
    <w:rsid w:val="00CD77FD"/>
    <w:rsid w:val="00CE1C3B"/>
    <w:rsid w:val="00DC20E4"/>
    <w:rsid w:val="00E262D2"/>
    <w:rsid w:val="00E54C5F"/>
    <w:rsid w:val="00E8794A"/>
    <w:rsid w:val="00E972F3"/>
  </w:rsids>
  <m:mathPr>
    <m:mathFont m:val="Cambria Math"/>
    <m:brkBin m:val="before"/>
    <m:brkBinSub m:val="--"/>
    <m:smallFrac m:val="off"/>
    <m:dispDef/>
    <m:lMargin m:val="0"/>
    <m:rMargin m:val="0"/>
    <m:defJc m:val="centerGroup"/>
    <m:wrapIndent m:val="1440"/>
    <m:intLim m:val="subSup"/>
    <m:naryLim m:val="undOvr"/>
  </m:mathPr>
  <w:uiCompat97To2003/>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NoSpacing">
    <w:name w:val="No Spacing"/>
    <w:rsid w:val="00B01E0F"/>
    <w:pPr>
      <w:suppressAutoHyphens/>
      <w:spacing w:line="100" w:lineRule="atLeast"/>
    </w:pPr>
    <w:rPr>
      <w:rFonts w:ascii="Calibri" w:eastAsia="DejaVu Sans" w:hAnsi="Calibri" w:cs="font325"/>
      <w:kern w:val="1"/>
      <w:sz w:val="22"/>
      <w:szCs w:val="22"/>
      <w:lang w:eastAsia="ar-SA"/>
    </w:rPr>
  </w:style>
  <w:style w:type="paragraph" w:customStyle="1" w:styleId="Pa8">
    <w:name w:val="Pa8"/>
    <w:basedOn w:val="Default"/>
    <w:next w:val="Default"/>
    <w:rsid w:val="00387628"/>
    <w:pPr>
      <w:spacing w:line="201" w:lineRule="atLeast"/>
    </w:pPr>
    <w:rPr>
      <w:rFonts w:eastAsia="SimSun" w:cs="Times New Roman"/>
      <w:color w:val="auto"/>
      <w:lang w:val="es-ES" w:eastAsia="zh-CN"/>
    </w:rPr>
  </w:style>
  <w:style w:type="paragraph" w:customStyle="1" w:styleId="Pa9">
    <w:name w:val="Pa9"/>
    <w:basedOn w:val="Default"/>
    <w:next w:val="Default"/>
    <w:rsid w:val="00387628"/>
    <w:pPr>
      <w:spacing w:line="201" w:lineRule="atLeast"/>
    </w:pPr>
    <w:rPr>
      <w:rFonts w:eastAsia="SimSun" w:cs="Times New Roman"/>
      <w:color w:val="auto"/>
      <w:lang w:val="es-ES"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1649</Words>
  <Characters>9073</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10701</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Francisco Javier Conejo Rueda</cp:lastModifiedBy>
  <cp:revision>3</cp:revision>
  <cp:lastPrinted>2005-07-18T10:13:00Z</cp:lastPrinted>
  <dcterms:created xsi:type="dcterms:W3CDTF">2011-09-08T14:27:00Z</dcterms:created>
  <dcterms:modified xsi:type="dcterms:W3CDTF">2011-09-08T14:46:00Z</dcterms:modified>
</cp:coreProperties>
</file>