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F92" w:rsidRPr="00BE2B57" w:rsidRDefault="00072F92" w:rsidP="009C231D">
      <w:pPr>
        <w:jc w:val="both"/>
        <w:rPr>
          <w:sz w:val="24"/>
          <w:szCs w:val="24"/>
        </w:rPr>
      </w:pPr>
      <w:r w:rsidRPr="00BE2B57">
        <w:rPr>
          <w:b/>
          <w:sz w:val="24"/>
          <w:szCs w:val="24"/>
        </w:rPr>
        <w:t>MOCIÓN</w:t>
      </w:r>
      <w:r w:rsidRPr="00BE2B57">
        <w:rPr>
          <w:sz w:val="24"/>
          <w:szCs w:val="24"/>
        </w:rPr>
        <w:t xml:space="preserve"> QUE PRESENTA EL GRUPO SOCIALISTA DE LA DIPUTACIÓN PROVINCIAL DE MÁLAGA PARA SU DEBATE Y APROBACIÓN SI PROCEDE POR EL PLENO DE LA CORPORACIÓN RELATIVA A:</w:t>
      </w:r>
    </w:p>
    <w:p w:rsidR="00072F92" w:rsidRPr="00BE2B57" w:rsidRDefault="00072F92" w:rsidP="009C231D">
      <w:pPr>
        <w:jc w:val="both"/>
        <w:rPr>
          <w:b/>
          <w:sz w:val="24"/>
          <w:szCs w:val="24"/>
        </w:rPr>
      </w:pPr>
      <w:r w:rsidRPr="00BE2B57">
        <w:rPr>
          <w:b/>
          <w:sz w:val="24"/>
          <w:szCs w:val="24"/>
        </w:rPr>
        <w:t xml:space="preserve"> “PROPUESTA DE PACTO PROVINCIAL PARA BLINDAR EL MODELO DE CONCERTACIÓN”</w:t>
      </w:r>
    </w:p>
    <w:p w:rsidR="00072F92" w:rsidRPr="00BE2B57" w:rsidRDefault="00072F92" w:rsidP="009C231D">
      <w:pPr>
        <w:jc w:val="both"/>
        <w:rPr>
          <w:sz w:val="24"/>
          <w:szCs w:val="24"/>
        </w:rPr>
      </w:pPr>
    </w:p>
    <w:p w:rsidR="00072F92" w:rsidRPr="00BE2B57" w:rsidRDefault="00072F92" w:rsidP="009C231D">
      <w:pPr>
        <w:jc w:val="center"/>
        <w:rPr>
          <w:b/>
          <w:sz w:val="24"/>
          <w:szCs w:val="24"/>
        </w:rPr>
      </w:pPr>
      <w:r w:rsidRPr="00BE2B57">
        <w:rPr>
          <w:b/>
          <w:sz w:val="24"/>
          <w:szCs w:val="24"/>
        </w:rPr>
        <w:t>EXPOSICIÓN DE MOTIVOS</w:t>
      </w:r>
    </w:p>
    <w:p w:rsidR="00072F92" w:rsidRPr="00BE2B57" w:rsidRDefault="00072F92" w:rsidP="009C231D">
      <w:pPr>
        <w:jc w:val="both"/>
        <w:rPr>
          <w:sz w:val="24"/>
          <w:szCs w:val="24"/>
        </w:rPr>
      </w:pPr>
    </w:p>
    <w:p w:rsidR="00072F92" w:rsidRPr="00BE2B57" w:rsidRDefault="00072F92" w:rsidP="009C231D">
      <w:pPr>
        <w:jc w:val="both"/>
        <w:rPr>
          <w:sz w:val="24"/>
          <w:szCs w:val="24"/>
        </w:rPr>
      </w:pPr>
      <w:r w:rsidRPr="00BE2B57">
        <w:rPr>
          <w:sz w:val="24"/>
          <w:szCs w:val="24"/>
        </w:rPr>
        <w:t>Durante el mandato anterior, la Diputación Provincial de Málaga llevó a cabo el impulso y desarrollo de un nuevo modelo de relaciones con los Ayuntamientos que contó con el apoyo de todos los grupos políticos de esta Corporación, tanto los que formaban parte del Gobierno Provincial (PSOE e IU), como del Partido Popular en la oposición.</w:t>
      </w:r>
    </w:p>
    <w:p w:rsidR="00072F92" w:rsidRPr="00BE2B57" w:rsidRDefault="00072F92" w:rsidP="009C231D">
      <w:pPr>
        <w:jc w:val="both"/>
        <w:rPr>
          <w:sz w:val="24"/>
          <w:szCs w:val="24"/>
        </w:rPr>
      </w:pPr>
      <w:r w:rsidRPr="00BE2B57">
        <w:rPr>
          <w:sz w:val="24"/>
          <w:szCs w:val="24"/>
        </w:rPr>
        <w:t>Este nuevo modelo de relaciones con los Ayuntamientos se instauró en base a unos criterios y objetivos muy concretos: potenciar la autonomía local y la defensa del municipalismo, establecer unas relaciones institucionales entre la Diputación Provincial y los Ayuntamientos basadas en la cooperación y la actuación conjunta, cohesión económica y social de la provincia, un desarrollo sostenible y equilibrado del territorio, aumentar la calidad de vida hasta en el último rincón de la provincia, fomentar la igualdad entre hombres y mujeres y una distribución equitativa de los recursos económicos de la Diputación en todos los municipios de la provincia con especial incidencia en los menores de 20.000 habitantes, es decir, en los municipios pequeños y medianos.</w:t>
      </w:r>
    </w:p>
    <w:p w:rsidR="00072F92" w:rsidRPr="00BE2B57" w:rsidRDefault="00072F92" w:rsidP="009C231D">
      <w:pPr>
        <w:jc w:val="both"/>
        <w:rPr>
          <w:sz w:val="24"/>
          <w:szCs w:val="24"/>
        </w:rPr>
      </w:pPr>
      <w:r w:rsidRPr="00BE2B57">
        <w:rPr>
          <w:sz w:val="24"/>
          <w:szCs w:val="24"/>
        </w:rPr>
        <w:t>Los acuerdos entre los diferentes municipios y la Diputación han sido firmados con el convencimiento de que en los mismos confluyen los intereses locales y el interés provincial. Esta colaboración bilateral entre entidades locales desarrolla competencias contenidas en la Carta Europea de Autonomía Local y en la Ley de Bases de Régimen Local, así como da respuesta a nuevas competencias que establece la Ley de Autonomía Local de Andalucía.</w:t>
      </w:r>
    </w:p>
    <w:p w:rsidR="00072F92" w:rsidRPr="00BE2B57" w:rsidRDefault="00072F92" w:rsidP="009C231D">
      <w:pPr>
        <w:jc w:val="both"/>
        <w:rPr>
          <w:sz w:val="24"/>
          <w:szCs w:val="24"/>
        </w:rPr>
      </w:pPr>
      <w:r w:rsidRPr="00BE2B57">
        <w:rPr>
          <w:sz w:val="24"/>
          <w:szCs w:val="24"/>
        </w:rPr>
        <w:t>Este nuevo modelo de relaciones con los Ayuntamientos denominado CONCERTACIÓN ha supuesto sin duda alguna un hito histórico en la forma de actuación y planificación municipal. Este sistema supone destinar unos recursos económicos fijos e incondicionados, determinados por diversos criterios, a todos los Ayuntamientos de la provincia repartidos en diversos programas específicos. Las cantidades económicas de cada programa son destinadas a las actuaciones priorizadas por cada municipio de forma autónoma.</w:t>
      </w:r>
    </w:p>
    <w:p w:rsidR="00072F92" w:rsidRPr="00BE2B57" w:rsidRDefault="00072F92" w:rsidP="009C231D">
      <w:pPr>
        <w:jc w:val="both"/>
        <w:rPr>
          <w:sz w:val="24"/>
          <w:szCs w:val="24"/>
        </w:rPr>
      </w:pPr>
      <w:r w:rsidRPr="00BE2B57">
        <w:rPr>
          <w:sz w:val="24"/>
          <w:szCs w:val="24"/>
        </w:rPr>
        <w:lastRenderedPageBreak/>
        <w:t>Esta forma de actuar permite a los Ayuntamientos conocer con antelación la financiación con la que van a contar para el ejercicio siguiente o incluso para la totalidad del mandato, facilita por tanto la planificación municipal de actuaciones y que cada pueblo o municipio pueda cumplir con los compromisos adquiridos ante sus vecinos.</w:t>
      </w:r>
    </w:p>
    <w:p w:rsidR="00072F92" w:rsidRPr="00BE2B57" w:rsidRDefault="00072F92" w:rsidP="009C231D">
      <w:pPr>
        <w:jc w:val="both"/>
        <w:rPr>
          <w:sz w:val="24"/>
          <w:szCs w:val="24"/>
        </w:rPr>
      </w:pPr>
      <w:r w:rsidRPr="00BE2B57">
        <w:rPr>
          <w:sz w:val="24"/>
          <w:szCs w:val="24"/>
        </w:rPr>
        <w:t xml:space="preserve">Por todo lo anteriormente expuesto el Grupo Socialista solicita al Pleno de la Corporación la aprobación de los siguientes </w:t>
      </w:r>
    </w:p>
    <w:p w:rsidR="00072F92" w:rsidRPr="00BE2B57" w:rsidRDefault="00072F92" w:rsidP="009C231D">
      <w:pPr>
        <w:jc w:val="both"/>
        <w:rPr>
          <w:sz w:val="24"/>
          <w:szCs w:val="24"/>
        </w:rPr>
      </w:pPr>
    </w:p>
    <w:p w:rsidR="00072F92" w:rsidRPr="00BE2B57" w:rsidRDefault="00072F92" w:rsidP="009C231D">
      <w:pPr>
        <w:jc w:val="both"/>
        <w:rPr>
          <w:sz w:val="24"/>
          <w:szCs w:val="24"/>
        </w:rPr>
      </w:pPr>
    </w:p>
    <w:p w:rsidR="00072F92" w:rsidRPr="00BE2B57" w:rsidRDefault="00072F92" w:rsidP="007266A9">
      <w:pPr>
        <w:jc w:val="center"/>
        <w:rPr>
          <w:b/>
          <w:sz w:val="24"/>
          <w:szCs w:val="24"/>
        </w:rPr>
      </w:pPr>
      <w:r w:rsidRPr="00BE2B57">
        <w:rPr>
          <w:b/>
          <w:sz w:val="24"/>
          <w:szCs w:val="24"/>
        </w:rPr>
        <w:t>ACUERDOS</w:t>
      </w:r>
    </w:p>
    <w:p w:rsidR="00072F92" w:rsidRPr="00BE2B57" w:rsidRDefault="00072F92" w:rsidP="009C231D">
      <w:pPr>
        <w:jc w:val="both"/>
        <w:rPr>
          <w:sz w:val="24"/>
          <w:szCs w:val="24"/>
        </w:rPr>
      </w:pPr>
    </w:p>
    <w:p w:rsidR="00072F92" w:rsidRPr="00BE2B57" w:rsidRDefault="00072F92" w:rsidP="00A8769C">
      <w:pPr>
        <w:pStyle w:val="Prrafodelista"/>
        <w:numPr>
          <w:ilvl w:val="0"/>
          <w:numId w:val="2"/>
        </w:numPr>
        <w:jc w:val="both"/>
        <w:rPr>
          <w:sz w:val="24"/>
          <w:szCs w:val="24"/>
        </w:rPr>
      </w:pPr>
      <w:r w:rsidRPr="00BE2B57">
        <w:rPr>
          <w:sz w:val="24"/>
          <w:szCs w:val="24"/>
        </w:rPr>
        <w:t>Proponemos un Pacto de todos los grupos políticos para blindar el Modelo de Concertación con los municipios tal y como lo conocemos.</w:t>
      </w:r>
    </w:p>
    <w:p w:rsidR="00072F92" w:rsidRPr="00BE2B57" w:rsidRDefault="00072F92" w:rsidP="00A8769C">
      <w:pPr>
        <w:pStyle w:val="Prrafodelista"/>
        <w:numPr>
          <w:ilvl w:val="0"/>
          <w:numId w:val="2"/>
        </w:numPr>
        <w:jc w:val="both"/>
        <w:rPr>
          <w:sz w:val="24"/>
          <w:szCs w:val="24"/>
        </w:rPr>
      </w:pPr>
      <w:r w:rsidRPr="00BE2B57">
        <w:rPr>
          <w:sz w:val="24"/>
          <w:szCs w:val="24"/>
        </w:rPr>
        <w:t>Garantizar la efectividad del acuerdo adoptado por unanimidad de todos los grupos políticos en el Pleno celebrado el pasado --/--/11 relativo a la Concertación 2011 – 2015.</w:t>
      </w:r>
    </w:p>
    <w:p w:rsidR="00072F92" w:rsidRPr="00BE2B57" w:rsidRDefault="00072F92" w:rsidP="00A8769C">
      <w:pPr>
        <w:pStyle w:val="Prrafodelista"/>
        <w:numPr>
          <w:ilvl w:val="0"/>
          <w:numId w:val="2"/>
        </w:numPr>
        <w:jc w:val="both"/>
        <w:rPr>
          <w:sz w:val="24"/>
          <w:szCs w:val="24"/>
        </w:rPr>
      </w:pPr>
      <w:r w:rsidRPr="00BE2B57">
        <w:rPr>
          <w:sz w:val="24"/>
          <w:szCs w:val="24"/>
        </w:rPr>
        <w:t>Respaldar la Concertación como el mejor mecanismo de reparto del máximo de recursos posibles para los Ayuntamientos, sobre todo para los pequeños y medianos municipios.</w:t>
      </w:r>
    </w:p>
    <w:p w:rsidR="00072F92" w:rsidRPr="00BE2B57" w:rsidRDefault="00072F92" w:rsidP="00A8769C">
      <w:pPr>
        <w:pStyle w:val="Prrafodelista"/>
        <w:numPr>
          <w:ilvl w:val="0"/>
          <w:numId w:val="2"/>
        </w:numPr>
        <w:jc w:val="both"/>
        <w:rPr>
          <w:sz w:val="24"/>
          <w:szCs w:val="24"/>
        </w:rPr>
      </w:pPr>
      <w:r w:rsidRPr="00BE2B57">
        <w:rPr>
          <w:sz w:val="24"/>
          <w:szCs w:val="24"/>
        </w:rPr>
        <w:t>La Diputación Provincial garantizará que como mínimo todos los municipios de la provincia recibirán por el modelo de Concertación en 2013, 2014 y 2015 las mismas cantidades ya aprobadas para 2012.</w:t>
      </w:r>
    </w:p>
    <w:p w:rsidR="00072F92" w:rsidRPr="00BE2B57" w:rsidRDefault="00072F92" w:rsidP="00A8769C">
      <w:pPr>
        <w:pStyle w:val="Prrafodelista"/>
        <w:numPr>
          <w:ilvl w:val="0"/>
          <w:numId w:val="2"/>
        </w:numPr>
        <w:jc w:val="both"/>
        <w:rPr>
          <w:sz w:val="24"/>
          <w:szCs w:val="24"/>
        </w:rPr>
      </w:pPr>
      <w:r w:rsidRPr="00BE2B57">
        <w:rPr>
          <w:sz w:val="24"/>
          <w:szCs w:val="24"/>
        </w:rPr>
        <w:t>Como consecuencia de la crisis económica y la delicada situación financiera de los Ayuntamientos proponemos que se mantenga para la anualidad 2012, la inclusión de un importe en concepto de transferencia de fondos incondicionados, que con carácter excepcional ya ha existido en el ejercicio en curso.</w:t>
      </w:r>
    </w:p>
    <w:p w:rsidR="00072F92" w:rsidRPr="00BE2B57" w:rsidRDefault="00072F92" w:rsidP="007266A9">
      <w:pPr>
        <w:pStyle w:val="Prrafodelista"/>
        <w:ind w:left="1440"/>
        <w:jc w:val="both"/>
        <w:rPr>
          <w:sz w:val="24"/>
          <w:szCs w:val="24"/>
        </w:rPr>
      </w:pPr>
    </w:p>
    <w:p w:rsidR="00072F92" w:rsidRPr="00BE2B57" w:rsidRDefault="00072F92" w:rsidP="007266A9">
      <w:pPr>
        <w:pStyle w:val="Prrafodelista"/>
        <w:ind w:left="1440"/>
        <w:jc w:val="center"/>
        <w:rPr>
          <w:b/>
          <w:sz w:val="24"/>
          <w:szCs w:val="24"/>
        </w:rPr>
      </w:pPr>
      <w:r w:rsidRPr="00BE2B57">
        <w:rPr>
          <w:b/>
          <w:sz w:val="24"/>
          <w:szCs w:val="24"/>
        </w:rPr>
        <w:t>Málaga, Septiembre de 2010</w:t>
      </w: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center"/>
        <w:rPr>
          <w:b/>
          <w:sz w:val="24"/>
          <w:szCs w:val="24"/>
        </w:rPr>
      </w:pPr>
      <w:r w:rsidRPr="00BE2B57">
        <w:rPr>
          <w:b/>
          <w:sz w:val="24"/>
          <w:szCs w:val="24"/>
        </w:rPr>
        <w:t>EL PORTAVOZ DEL GRUPO SOCIALISTA</w:t>
      </w: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center"/>
        <w:rPr>
          <w:b/>
          <w:sz w:val="24"/>
          <w:szCs w:val="24"/>
        </w:rPr>
      </w:pPr>
    </w:p>
    <w:p w:rsidR="00072F92" w:rsidRPr="00BE2B57" w:rsidRDefault="00072F92" w:rsidP="007266A9">
      <w:pPr>
        <w:pStyle w:val="Prrafodelista"/>
        <w:ind w:left="1440"/>
        <w:jc w:val="both"/>
        <w:rPr>
          <w:sz w:val="24"/>
          <w:szCs w:val="24"/>
        </w:rPr>
      </w:pPr>
    </w:p>
    <w:p w:rsidR="00072F92" w:rsidRPr="00BE2B57" w:rsidRDefault="00072F92" w:rsidP="007266A9">
      <w:pPr>
        <w:pStyle w:val="Prrafodelista"/>
        <w:ind w:left="1440"/>
        <w:jc w:val="center"/>
        <w:rPr>
          <w:b/>
          <w:sz w:val="24"/>
          <w:szCs w:val="24"/>
        </w:rPr>
      </w:pPr>
      <w:r w:rsidRPr="00BE2B57">
        <w:rPr>
          <w:b/>
          <w:sz w:val="24"/>
          <w:szCs w:val="24"/>
        </w:rPr>
        <w:t>Fdo: Francisco J. Conejo Rueda</w:t>
      </w:r>
    </w:p>
    <w:p w:rsidR="00072F92" w:rsidRPr="00BE2B57" w:rsidRDefault="00072F92" w:rsidP="00A8769C">
      <w:pPr>
        <w:pStyle w:val="Prrafodelista"/>
        <w:jc w:val="both"/>
        <w:rPr>
          <w:sz w:val="24"/>
          <w:szCs w:val="24"/>
        </w:rPr>
      </w:pPr>
    </w:p>
    <w:p w:rsidR="00072F92" w:rsidRPr="00BE2B57" w:rsidRDefault="00072F92" w:rsidP="00A8769C">
      <w:pPr>
        <w:jc w:val="both"/>
        <w:rPr>
          <w:sz w:val="24"/>
          <w:szCs w:val="24"/>
        </w:rPr>
      </w:pPr>
    </w:p>
    <w:p w:rsidR="00072F92" w:rsidRDefault="00072F92" w:rsidP="00A8769C">
      <w:pPr>
        <w:pStyle w:val="Prrafodelista"/>
        <w:jc w:val="both"/>
      </w:pPr>
    </w:p>
    <w:sectPr w:rsidR="00072F92" w:rsidSect="00A96BB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D223A"/>
    <w:multiLevelType w:val="hybridMultilevel"/>
    <w:tmpl w:val="46BADA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318900A7"/>
    <w:multiLevelType w:val="hybridMultilevel"/>
    <w:tmpl w:val="4B9AB840"/>
    <w:lvl w:ilvl="0" w:tplc="0C0A000F">
      <w:start w:val="1"/>
      <w:numFmt w:val="decimal"/>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EE09F4"/>
    <w:rsid w:val="00072F92"/>
    <w:rsid w:val="001E7D78"/>
    <w:rsid w:val="002A04F0"/>
    <w:rsid w:val="007266A9"/>
    <w:rsid w:val="007C1B29"/>
    <w:rsid w:val="009B7694"/>
    <w:rsid w:val="009C231D"/>
    <w:rsid w:val="00A8769C"/>
    <w:rsid w:val="00A96BBB"/>
    <w:rsid w:val="00BE2B57"/>
    <w:rsid w:val="00CD155A"/>
    <w:rsid w:val="00EE09F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BBB"/>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8769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592</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dc:creator>
  <cp:keywords/>
  <dc:description/>
  <cp:lastModifiedBy>LGuerrero</cp:lastModifiedBy>
  <cp:revision>2</cp:revision>
  <dcterms:created xsi:type="dcterms:W3CDTF">2011-10-20T09:34:00Z</dcterms:created>
  <dcterms:modified xsi:type="dcterms:W3CDTF">2011-10-20T09:34:00Z</dcterms:modified>
</cp:coreProperties>
</file>